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  <w:t xml:space="preserve">                </w:t>
      </w:r>
      <w:r w:rsidRPr="00CF7C17">
        <w:rPr>
          <w:rFonts w:ascii="Cambria" w:hAnsi="Cambria"/>
          <w:b/>
          <w:sz w:val="18"/>
          <w:szCs w:val="18"/>
        </w:rPr>
        <w:t xml:space="preserve">Coordinación </w:t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  <w:r w:rsidRPr="00CF7C17">
        <w:rPr>
          <w:rFonts w:ascii="Cambria" w:hAnsi="Cambria" w:cs="Arial"/>
          <w:b/>
          <w:sz w:val="18"/>
          <w:szCs w:val="18"/>
        </w:rPr>
        <w:t xml:space="preserve">I </w:t>
      </w:r>
      <w:r w:rsidRPr="00CF7C17">
        <w:rPr>
          <w:rFonts w:ascii="Cambria" w:hAnsi="Cambria"/>
          <w:b/>
          <w:sz w:val="18"/>
          <w:szCs w:val="18"/>
        </w:rPr>
        <w:t>Nivel</w:t>
      </w:r>
      <w:r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>
        <w:rPr>
          <w:rFonts w:ascii="Cambria" w:hAnsi="Cambria" w:cs="Arial"/>
          <w:b/>
          <w:sz w:val="18"/>
          <w:szCs w:val="18"/>
        </w:rPr>
        <w:t>DEL ALUMNO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tabs>
          <w:tab w:val="clear" w:pos="1080"/>
        </w:tabs>
        <w:ind w:left="284" w:hanging="153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 xml:space="preserve"> DATOS GENERALES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Álgebra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Cuarto</w:t>
      </w:r>
      <w:r w:rsidRPr="00CF7C17">
        <w:rPr>
          <w:rFonts w:ascii="Cambria" w:hAnsi="Cambria" w:cs="Arial"/>
          <w:sz w:val="18"/>
          <w:szCs w:val="18"/>
        </w:rPr>
        <w:t xml:space="preserve"> 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PROFESOR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2 horas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D95212" w:rsidRPr="00CF7C17" w:rsidTr="00AF38DB">
        <w:trPr>
          <w:trHeight w:val="180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04</w:t>
            </w:r>
          </w:p>
        </w:tc>
      </w:tr>
      <w:tr w:rsidR="00D95212" w:rsidRPr="00CF7C17" w:rsidTr="00AF38DB">
        <w:trPr>
          <w:trHeight w:val="361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187" w:type="dxa"/>
            <w:vAlign w:val="center"/>
          </w:tcPr>
          <w:p w:rsidR="00D95212" w:rsidRDefault="00D95212" w:rsidP="00AF38DB">
            <w:pPr>
              <w:pStyle w:val="Prrafodelista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Ecuaciones de grado superior</w:t>
            </w:r>
          </w:p>
          <w:p w:rsidR="00D95212" w:rsidRPr="0040538A" w:rsidRDefault="00D95212" w:rsidP="00AF38DB">
            <w:pPr>
              <w:pStyle w:val="Prrafodelista"/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Desigualdades e inecuaciones  </w:t>
            </w:r>
          </w:p>
        </w:tc>
      </w:tr>
    </w:tbl>
    <w:p w:rsidR="00D95212" w:rsidRPr="00D34AB3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>
        <w:rPr>
          <w:rFonts w:ascii="Cambria" w:hAnsi="Cambria" w:cs="Arial"/>
          <w:b/>
          <w:sz w:val="18"/>
          <w:szCs w:val="18"/>
        </w:rPr>
        <w:t>NCIA Y CAPACIDADDES A EVALUAR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D95212" w:rsidTr="00AF38DB">
        <w:tc>
          <w:tcPr>
            <w:tcW w:w="2405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D95212" w:rsidTr="00AF38DB">
        <w:tc>
          <w:tcPr>
            <w:tcW w:w="2405" w:type="dxa"/>
            <w:vMerge w:val="restart"/>
            <w:vAlign w:val="center"/>
          </w:tcPr>
          <w:p w:rsidR="00D95212" w:rsidRPr="0000734F" w:rsidRDefault="00D95212" w:rsidP="00AF38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95212" w:rsidRPr="00AE753F" w:rsidRDefault="00D95212" w:rsidP="00AF38DB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AE753F">
              <w:rPr>
                <w:rFonts w:asciiTheme="minorHAnsi" w:hAnsiTheme="minorHAnsi" w:cstheme="minorHAnsi"/>
                <w:sz w:val="18"/>
              </w:rPr>
              <w:t>Matematiza situaciones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Comunica y representa ideas matemáticas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Elabora y usa estrategias</w:t>
            </w:r>
          </w:p>
        </w:tc>
      </w:tr>
      <w:tr w:rsidR="00D95212" w:rsidTr="00AF38DB">
        <w:trPr>
          <w:trHeight w:val="316"/>
        </w:trPr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Razona y argume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 generando ideas matemáticas</w:t>
            </w:r>
          </w:p>
        </w:tc>
      </w:tr>
    </w:tbl>
    <w:p w:rsidR="00D95212" w:rsidRPr="00CF7C17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95212" w:rsidRPr="00FC5C42" w:rsidRDefault="00D95212" w:rsidP="00D95212">
      <w:pPr>
        <w:rPr>
          <w:rFonts w:ascii="Cambria" w:hAnsi="Cambria" w:cs="Arial"/>
          <w:sz w:val="14"/>
          <w:szCs w:val="18"/>
          <w:lang w:val="es-MX"/>
        </w:rPr>
      </w:pPr>
    </w:p>
    <w:p w:rsidR="00D95212" w:rsidRPr="00CF7C17" w:rsidRDefault="00D95212" w:rsidP="00D95212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eastAsia="Arial Unicode MS" w:hAnsi="Cambria" w:cs="Arial"/>
          <w:sz w:val="18"/>
          <w:szCs w:val="18"/>
        </w:rPr>
        <w:t>22 de junio al 07de agosto</w:t>
      </w:r>
    </w:p>
    <w:p w:rsidR="00D95212" w:rsidRPr="00CF7C17" w:rsidRDefault="00D95212" w:rsidP="00D95212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D95212" w:rsidRPr="00CF7C17" w:rsidRDefault="00D95212" w:rsidP="00D9521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D95212" w:rsidRPr="00FC5C42" w:rsidRDefault="00D95212" w:rsidP="00D95212">
      <w:pPr>
        <w:jc w:val="both"/>
        <w:rPr>
          <w:rFonts w:ascii="Cambria" w:hAnsi="Cambria"/>
          <w:sz w:val="12"/>
          <w:szCs w:val="18"/>
        </w:rPr>
      </w:pP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Ecuaciones de grado superior</w:t>
      </w: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Propiedades de las raíces de las ecuaciones de grado superior</w:t>
      </w: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Inecuaciones y desigualdades    </w:t>
      </w:r>
    </w:p>
    <w:p w:rsidR="00D95212" w:rsidRPr="00CF7C17" w:rsidRDefault="00D95212" w:rsidP="00D95212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Raíz de la ecuación</w:t>
      </w: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Desigualdades</w:t>
      </w:r>
    </w:p>
    <w:p w:rsidR="00D95212" w:rsidRDefault="00D95212" w:rsidP="00D9521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Inecuaciones de segundo grado</w:t>
      </w: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D95212" w:rsidRPr="00D34AB3" w:rsidRDefault="00D95212" w:rsidP="00D95212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D95212" w:rsidRPr="00D34AB3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D95212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D95212" w:rsidRPr="004108FE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D95212" w:rsidRPr="00FB38B8" w:rsidRDefault="00D95212" w:rsidP="00D95212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95212" w:rsidRPr="00CF7C17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PÁGINAS DE CONSULTA LINKOGRAFIA</w:t>
      </w:r>
    </w:p>
    <w:p w:rsidR="00D95212" w:rsidRPr="00FB38B8" w:rsidRDefault="00D95212" w:rsidP="00D95212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D95212" w:rsidRPr="004945BB" w:rsidRDefault="00F11A1B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D95212" w:rsidRPr="004945BB">
          <w:rPr>
            <w:rStyle w:val="Hipervnculo"/>
            <w:sz w:val="18"/>
          </w:rPr>
          <w:t>https://www.youtube.com/watch?v=ozzalwEBhw0</w:t>
        </w:r>
      </w:hyperlink>
    </w:p>
    <w:p w:rsidR="00D95212" w:rsidRPr="004945BB" w:rsidRDefault="00F11A1B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D95212" w:rsidRPr="004945BB">
          <w:rPr>
            <w:rStyle w:val="Hipervnculo"/>
            <w:sz w:val="18"/>
          </w:rPr>
          <w:t>https://www.youtube.com/watch?v=GfZzCePdQUQ</w:t>
        </w:r>
      </w:hyperlink>
    </w:p>
    <w:p w:rsidR="00D95212" w:rsidRPr="004945BB" w:rsidRDefault="00F11A1B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D95212" w:rsidRPr="004945BB">
          <w:rPr>
            <w:rStyle w:val="Hipervnculo"/>
            <w:sz w:val="18"/>
          </w:rPr>
          <w:t>https://www.youtube.com/watch?v=nRa93GjOD1A&amp;t=284s</w:t>
        </w:r>
      </w:hyperlink>
    </w:p>
    <w:p w:rsidR="00D95212" w:rsidRPr="004945BB" w:rsidRDefault="00F11A1B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D95212" w:rsidRPr="004945BB">
          <w:rPr>
            <w:rStyle w:val="Hipervnculo"/>
            <w:sz w:val="18"/>
          </w:rPr>
          <w:t>https://www.youtube.com/watch?v=vmv0VIBglc4&amp;t=22s</w:t>
        </w:r>
      </w:hyperlink>
    </w:p>
    <w:p w:rsidR="00D95212" w:rsidRDefault="00F11A1B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D95212" w:rsidRPr="004945BB">
          <w:rPr>
            <w:rStyle w:val="Hipervnculo"/>
            <w:sz w:val="18"/>
          </w:rPr>
          <w:t>https://www.youtube.com/watch?v=KV2TlE7KdVk</w:t>
        </w:r>
      </w:hyperlink>
    </w:p>
    <w:p w:rsidR="00D95212" w:rsidRPr="00FB38B8" w:rsidRDefault="00D95212" w:rsidP="00D95212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D95212" w:rsidRPr="00D95212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</w:t>
      </w:r>
    </w:p>
    <w:p w:rsidR="00D95212" w:rsidRPr="00702F2E" w:rsidRDefault="00D95212" w:rsidP="00D95212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D95212" w:rsidRPr="00CF7C17" w:rsidRDefault="00D95212" w:rsidP="00D95212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D95212" w:rsidTr="00AF38DB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D95212" w:rsidRPr="00362273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D95212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Default="00D95212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0 - 20</w:t>
            </w:r>
          </w:p>
        </w:tc>
        <w:tc>
          <w:tcPr>
            <w:tcW w:w="1701" w:type="dxa"/>
            <w:vAlign w:val="center"/>
          </w:tcPr>
          <w:p w:rsidR="00D95212" w:rsidRPr="004B39BF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Default="00D95212" w:rsidP="00D95212">
      <w:pPr>
        <w:rPr>
          <w:rFonts w:ascii="Rockwell" w:hAnsi="Rockwell"/>
          <w:sz w:val="20"/>
          <w:szCs w:val="20"/>
        </w:rPr>
      </w:pPr>
    </w:p>
    <w:p w:rsidR="00D95212" w:rsidRDefault="00D95212" w:rsidP="00D95212">
      <w:pPr>
        <w:rPr>
          <w:rFonts w:ascii="Rockwell" w:hAnsi="Rockwell"/>
          <w:sz w:val="20"/>
          <w:szCs w:val="20"/>
        </w:rPr>
      </w:pPr>
    </w:p>
    <w:p w:rsidR="00D95212" w:rsidRDefault="00D95212" w:rsidP="00D95212">
      <w:pPr>
        <w:rPr>
          <w:rFonts w:ascii="Rockwell" w:hAnsi="Rockwell"/>
          <w:sz w:val="20"/>
          <w:szCs w:val="20"/>
        </w:rPr>
      </w:pPr>
    </w:p>
    <w:p w:rsidR="00D95212" w:rsidRDefault="00D95212" w:rsidP="00D95212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D95212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1A1B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2</cp:revision>
  <cp:lastPrinted>2017-03-21T01:32:00Z</cp:lastPrinted>
  <dcterms:created xsi:type="dcterms:W3CDTF">2020-09-07T04:31:00Z</dcterms:created>
  <dcterms:modified xsi:type="dcterms:W3CDTF">2020-09-07T04:31:00Z</dcterms:modified>
</cp:coreProperties>
</file>