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17">
        <w:t>Algarrobos</w:t>
      </w:r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367C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r>
        <w:rPr>
          <w:position w:val="4"/>
          <w:sz w:val="12"/>
        </w:rPr>
        <w:t>rd</w:t>
      </w:r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r>
        <w:t>Gysels</w:t>
      </w:r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Incredible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 w:rsidR="00901641">
              <w:rPr>
                <w:sz w:val="18"/>
              </w:rPr>
              <w:t>!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>
        <w:rPr>
          <w:sz w:val="18"/>
        </w:rPr>
        <w:t>Finding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solutions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Reporting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categorizing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Default="00901641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17</w:t>
      </w:r>
      <w:r w:rsidR="00367C17">
        <w:rPr>
          <w:sz w:val="18"/>
        </w:rPr>
        <w:t>th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April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2</w:t>
      </w:r>
      <w:r w:rsidRPr="00901641">
        <w:rPr>
          <w:sz w:val="18"/>
          <w:vertAlign w:val="superscript"/>
        </w:rPr>
        <w:t>nd</w:t>
      </w:r>
      <w:r w:rsidR="00367C17">
        <w:rPr>
          <w:spacing w:val="12"/>
          <w:position w:val="4"/>
          <w:sz w:val="12"/>
        </w:rPr>
        <w:t xml:space="preserve"> </w:t>
      </w:r>
      <w:r>
        <w:rPr>
          <w:sz w:val="18"/>
        </w:rPr>
        <w:t>of June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2023</w:t>
      </w:r>
      <w:bookmarkStart w:id="0" w:name="_GoBack"/>
      <w:bookmarkEnd w:id="0"/>
    </w:p>
    <w:p w:rsidR="0063677F" w:rsidRDefault="0063677F">
      <w:pPr>
        <w:pStyle w:val="Textoindependiente"/>
        <w:spacing w:before="9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>
        <w:rPr>
          <w:sz w:val="18"/>
        </w:rPr>
        <w:t>Sequential</w:t>
      </w:r>
      <w:r>
        <w:rPr>
          <w:sz w:val="18"/>
        </w:rPr>
        <w:tab/>
        <w:t>linkers,</w:t>
      </w:r>
      <w:r>
        <w:rPr>
          <w:sz w:val="18"/>
        </w:rPr>
        <w:tab/>
        <w:t>superlatives,</w:t>
      </w:r>
      <w:r>
        <w:rPr>
          <w:sz w:val="18"/>
        </w:rPr>
        <w:tab/>
        <w:t>combining</w:t>
      </w:r>
      <w:r>
        <w:rPr>
          <w:sz w:val="18"/>
        </w:rPr>
        <w:tab/>
      </w:r>
      <w:r>
        <w:rPr>
          <w:spacing w:val="-1"/>
          <w:sz w:val="18"/>
        </w:rPr>
        <w:t>adjectives,</w:t>
      </w:r>
      <w:r>
        <w:rPr>
          <w:spacing w:val="-37"/>
          <w:sz w:val="18"/>
        </w:rPr>
        <w:t xml:space="preserve"> </w:t>
      </w:r>
      <w:r>
        <w:rPr>
          <w:sz w:val="18"/>
        </w:rPr>
        <w:t>comparative</w:t>
      </w:r>
      <w:r>
        <w:rPr>
          <w:spacing w:val="-1"/>
          <w:sz w:val="18"/>
        </w:rPr>
        <w:t xml:space="preserve"> </w:t>
      </w:r>
      <w:r>
        <w:rPr>
          <w:sz w:val="18"/>
        </w:rPr>
        <w:t>clause, ability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past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>
        <w:rPr>
          <w:sz w:val="18"/>
        </w:rPr>
        <w:t>Internet</w:t>
      </w:r>
      <w:r>
        <w:rPr>
          <w:spacing w:val="-3"/>
          <w:sz w:val="18"/>
        </w:rPr>
        <w:t xml:space="preserve"> </w:t>
      </w:r>
      <w:r>
        <w:rPr>
          <w:sz w:val="18"/>
        </w:rPr>
        <w:t>ads,</w:t>
      </w:r>
      <w:r>
        <w:rPr>
          <w:spacing w:val="-3"/>
          <w:sz w:val="18"/>
        </w:rPr>
        <w:t xml:space="preserve"> </w:t>
      </w:r>
      <w:r>
        <w:rPr>
          <w:sz w:val="18"/>
        </w:rPr>
        <w:t>Essay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>
        <w:rPr>
          <w:sz w:val="18"/>
        </w:rPr>
        <w:t>Advertisement,</w:t>
      </w:r>
      <w:r>
        <w:rPr>
          <w:spacing w:val="-4"/>
          <w:sz w:val="18"/>
        </w:rPr>
        <w:t xml:space="preserve"> </w:t>
      </w:r>
      <w:r>
        <w:rPr>
          <w:sz w:val="18"/>
        </w:rPr>
        <w:t>Essay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</w:t>
      </w:r>
      <w:r>
        <w:rPr>
          <w:sz w:val="18"/>
        </w:rPr>
        <w:t>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</w:t>
      </w:r>
      <w:r>
        <w:rPr>
          <w:sz w:val="18"/>
        </w:rPr>
        <w:t xml:space="preserve">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  <w:jc w:val="left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362253"/>
    <w:rsid w:val="00367C17"/>
    <w:rsid w:val="0063677F"/>
    <w:rsid w:val="00901641"/>
    <w:rsid w:val="00B5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4B4A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</cp:revision>
  <dcterms:created xsi:type="dcterms:W3CDTF">2023-03-01T17:47:00Z</dcterms:created>
  <dcterms:modified xsi:type="dcterms:W3CDTF">2023-03-01T17:47:00Z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