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7E" w:rsidRPr="00AE753F" w:rsidRDefault="00FC097E" w:rsidP="00FC097E">
      <w:pPr>
        <w:spacing w:after="0" w:line="240" w:lineRule="auto"/>
        <w:ind w:left="-57"/>
        <w:rPr>
          <w:rFonts w:cstheme="minorHAnsi"/>
          <w:b/>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1625D0">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N° 0</w:t>
            </w:r>
            <w:r w:rsidR="001625D0">
              <w:rPr>
                <w:rFonts w:eastAsia="Arial Unicode MS" w:cstheme="minorHAnsi"/>
                <w:b/>
                <w:sz w:val="28"/>
                <w:szCs w:val="18"/>
                <w:lang w:val="es-ES" w:eastAsia="es-ES"/>
              </w:rPr>
              <w:t>4</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Álgebra - 4° de secundaria</w:t>
            </w:r>
            <w:r w:rsidRPr="00AE753F">
              <w:rPr>
                <w:rFonts w:eastAsia="Arial Unicode MS" w:cstheme="minorHAnsi"/>
                <w:b/>
                <w:sz w:val="28"/>
                <w:szCs w:val="18"/>
                <w:lang w:val="es-ES" w:eastAsia="es-ES"/>
              </w:rPr>
              <w:tab/>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1625D0" w:rsidRPr="000D77BD" w:rsidRDefault="001625D0" w:rsidP="00983C33">
            <w:pPr>
              <w:numPr>
                <w:ilvl w:val="0"/>
                <w:numId w:val="24"/>
              </w:numPr>
              <w:shd w:val="clear" w:color="auto" w:fill="FFFFFF"/>
              <w:ind w:left="417" w:hanging="294"/>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1625D0" w:rsidRDefault="001625D0" w:rsidP="001625D0">
            <w:pPr>
              <w:shd w:val="clear" w:color="auto" w:fill="FFFFFF"/>
              <w:tabs>
                <w:tab w:val="left" w:pos="-2905"/>
              </w:tabs>
              <w:ind w:left="497"/>
              <w:rPr>
                <w:rFonts w:asciiTheme="majorHAnsi" w:eastAsia="Calibri" w:hAnsiTheme="majorHAnsi" w:cs="Arial"/>
                <w:sz w:val="18"/>
                <w:szCs w:val="18"/>
              </w:rPr>
            </w:pPr>
            <w:r>
              <w:rPr>
                <w:rFonts w:asciiTheme="majorHAnsi" w:eastAsia="Calibri" w:hAnsiTheme="majorHAnsi" w:cs="Arial"/>
                <w:sz w:val="18"/>
                <w:szCs w:val="18"/>
              </w:rPr>
              <w:t>Fomentemos la unión familiar</w:t>
            </w:r>
          </w:p>
          <w:p w:rsidR="00983C33" w:rsidRPr="007E6DF0" w:rsidRDefault="00983C33" w:rsidP="001625D0">
            <w:pPr>
              <w:shd w:val="clear" w:color="auto" w:fill="FFFFFF"/>
              <w:tabs>
                <w:tab w:val="left" w:pos="-2905"/>
              </w:tabs>
              <w:ind w:left="497"/>
              <w:rPr>
                <w:rFonts w:ascii="Cambria" w:eastAsia="Arial Unicode MS" w:hAnsi="Cambria" w:cs="Arial"/>
                <w:b/>
                <w:sz w:val="18"/>
                <w:szCs w:val="18"/>
                <w:lang w:val="es-ES" w:eastAsia="es-ES"/>
              </w:rPr>
            </w:pPr>
          </w:p>
          <w:p w:rsidR="001625D0" w:rsidRPr="000D77BD" w:rsidRDefault="001625D0" w:rsidP="00521B20">
            <w:pPr>
              <w:numPr>
                <w:ilvl w:val="0"/>
                <w:numId w:val="24"/>
              </w:numPr>
              <w:shd w:val="clear" w:color="auto" w:fill="FFFFFF"/>
              <w:ind w:left="417" w:hanging="294"/>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1625D0" w:rsidRPr="005A4BDB" w:rsidRDefault="001625D0" w:rsidP="001625D0">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1625D0" w:rsidRPr="00AE753F" w:rsidRDefault="001625D0" w:rsidP="001625D0">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1625D0" w:rsidRPr="00AE753F" w:rsidRDefault="001625D0" w:rsidP="001625D0">
            <w:pPr>
              <w:shd w:val="clear" w:color="auto" w:fill="FFFFFF"/>
              <w:tabs>
                <w:tab w:val="left" w:pos="284"/>
              </w:tabs>
              <w:rPr>
                <w:rFonts w:eastAsia="Arial Unicode MS" w:cstheme="minorHAnsi"/>
                <w:sz w:val="18"/>
                <w:szCs w:val="18"/>
              </w:rPr>
            </w:pPr>
          </w:p>
          <w:p w:rsidR="001625D0" w:rsidRPr="00AE753F" w:rsidRDefault="001625D0" w:rsidP="005D130C">
            <w:pPr>
              <w:numPr>
                <w:ilvl w:val="0"/>
                <w:numId w:val="25"/>
              </w:numPr>
              <w:shd w:val="clear" w:color="auto" w:fill="FFFFFF"/>
              <w:tabs>
                <w:tab w:val="left" w:pos="497"/>
              </w:tabs>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1625D0" w:rsidRDefault="001625D0" w:rsidP="001625D0">
            <w:pPr>
              <w:shd w:val="clear" w:color="auto" w:fill="FFFFFF"/>
              <w:tabs>
                <w:tab w:val="left" w:pos="-2905"/>
              </w:tabs>
              <w:ind w:left="497"/>
              <w:jc w:val="both"/>
              <w:rPr>
                <w:rFonts w:cstheme="minorHAnsi"/>
                <w:sz w:val="18"/>
                <w:szCs w:val="18"/>
              </w:rPr>
            </w:pPr>
            <w:r>
              <w:rPr>
                <w:rFonts w:cstheme="minorHAnsi"/>
                <w:sz w:val="18"/>
                <w:szCs w:val="18"/>
              </w:rPr>
              <w:t>Plantea y modela situaciones de la vida real usando matrices y determinantes.</w:t>
            </w:r>
          </w:p>
          <w:p w:rsidR="001625D0" w:rsidRPr="00AE753F" w:rsidRDefault="001625D0" w:rsidP="001625D0">
            <w:pPr>
              <w:shd w:val="clear" w:color="auto" w:fill="FFFFFF"/>
              <w:tabs>
                <w:tab w:val="left" w:pos="-2905"/>
              </w:tabs>
              <w:ind w:left="497"/>
              <w:rPr>
                <w:rFonts w:eastAsia="Calibri" w:cstheme="minorHAnsi"/>
                <w:sz w:val="18"/>
                <w:szCs w:val="18"/>
              </w:rPr>
            </w:pPr>
          </w:p>
          <w:p w:rsidR="001625D0" w:rsidRPr="00AE753F" w:rsidRDefault="001625D0" w:rsidP="005D130C">
            <w:pPr>
              <w:numPr>
                <w:ilvl w:val="0"/>
                <w:numId w:val="25"/>
              </w:numPr>
              <w:shd w:val="clear" w:color="auto" w:fill="FFFFFF"/>
              <w:tabs>
                <w:tab w:val="left" w:pos="497"/>
              </w:tabs>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1625D0" w:rsidRPr="00AE753F" w:rsidRDefault="001625D0" w:rsidP="001625D0">
            <w:pPr>
              <w:shd w:val="clear" w:color="auto" w:fill="FFFFFF"/>
              <w:tabs>
                <w:tab w:val="left" w:pos="497"/>
              </w:tabs>
              <w:ind w:left="720"/>
              <w:contextualSpacing/>
              <w:rPr>
                <w:rFonts w:eastAsia="Arial Unicode MS" w:cstheme="minorHAnsi"/>
                <w:b/>
                <w:sz w:val="18"/>
                <w:szCs w:val="18"/>
                <w:lang w:val="es-ES" w:eastAsia="es-ES"/>
              </w:rPr>
            </w:pPr>
          </w:p>
          <w:p w:rsidR="001625D0" w:rsidRPr="00791428" w:rsidRDefault="001625D0" w:rsidP="001625D0">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22 de junio al 07 de agosto</w:t>
            </w:r>
          </w:p>
          <w:p w:rsidR="001625D0" w:rsidRPr="00AE753F" w:rsidRDefault="001625D0" w:rsidP="001625D0">
            <w:pPr>
              <w:shd w:val="clear" w:color="auto" w:fill="FFFFFF"/>
              <w:ind w:left="72" w:firstLine="420"/>
              <w:contextualSpacing/>
              <w:rPr>
                <w:rFonts w:eastAsia="Arial Unicode MS" w:cstheme="minorHAnsi"/>
                <w:b/>
                <w:color w:val="000000"/>
                <w:sz w:val="18"/>
                <w:szCs w:val="18"/>
              </w:rPr>
            </w:pPr>
          </w:p>
          <w:p w:rsidR="001625D0" w:rsidRPr="00AE753F" w:rsidRDefault="001625D0" w:rsidP="005D130C">
            <w:pPr>
              <w:numPr>
                <w:ilvl w:val="0"/>
                <w:numId w:val="25"/>
              </w:numPr>
              <w:shd w:val="clear" w:color="auto" w:fill="FFFFFF"/>
              <w:tabs>
                <w:tab w:val="left" w:pos="497"/>
              </w:tabs>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1625D0" w:rsidRPr="00AE753F" w:rsidRDefault="001625D0" w:rsidP="001625D0">
            <w:pPr>
              <w:pStyle w:val="Prrafodelista"/>
              <w:ind w:left="781"/>
              <w:rPr>
                <w:rFonts w:eastAsia="Arial Unicode MS" w:cstheme="minorHAnsi"/>
                <w:sz w:val="18"/>
                <w:szCs w:val="18"/>
                <w:lang w:val="es-ES" w:eastAsia="es-ES"/>
              </w:rPr>
            </w:pP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15 de junio</w:t>
            </w:r>
            <w:r>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w:t>
            </w:r>
            <w:r w:rsidRPr="00154160">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Celebración del día del padre</w:t>
            </w:r>
          </w:p>
          <w:p w:rsidR="001625D0" w:rsidRPr="0015416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17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padre</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II Reunión de padres de familia – primaria y secundaria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del campesino </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 la fiesta del sol o Inti </w:t>
            </w:r>
            <w:proofErr w:type="spellStart"/>
            <w:r>
              <w:rPr>
                <w:rFonts w:ascii="Cambria" w:eastAsia="Arial Unicode MS" w:hAnsi="Cambria" w:cs="Arial"/>
                <w:sz w:val="18"/>
                <w:szCs w:val="18"/>
                <w:lang w:val="es-ES" w:eastAsia="es-ES"/>
              </w:rPr>
              <w:t>Raymi</w:t>
            </w:r>
            <w:proofErr w:type="spellEnd"/>
            <w:r>
              <w:rPr>
                <w:rFonts w:ascii="Cambria" w:eastAsia="Arial Unicode MS" w:hAnsi="Cambria" w:cs="Arial"/>
                <w:sz w:val="18"/>
                <w:szCs w:val="18"/>
                <w:lang w:val="es-ES" w:eastAsia="es-ES"/>
              </w:rPr>
              <w:t>.</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al 28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de San Josemaría.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Josemaría Escrivá.</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internacional de la lucha contra el uso indebido y el tráfico ilícito de drogas.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29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Pedro y San Pablo.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29 de junio</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José Olaya Balandra.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Maestro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lastRenderedPageBreak/>
              <w:t>07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descubrimiento de Machu Picchu.</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al 27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patriótica.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héroe capitán FAP José Abelardo Quiñonez.</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Homenaje a la Patria.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27 - 28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Campeonato de fútbol exalumnos.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la proclamación de la independencia del Perú.</w:t>
            </w:r>
          </w:p>
          <w:p w:rsidR="00FC097E" w:rsidRPr="00E671E4" w:rsidRDefault="001625D0" w:rsidP="00E671E4">
            <w:pPr>
              <w:numPr>
                <w:ilvl w:val="0"/>
                <w:numId w:val="5"/>
              </w:numPr>
              <w:spacing w:line="360" w:lineRule="auto"/>
              <w:ind w:left="774" w:hanging="284"/>
              <w:contextualSpacing/>
              <w:rPr>
                <w:rFonts w:eastAsia="Arial Unicode MS" w:cstheme="minorHAnsi"/>
                <w:sz w:val="18"/>
                <w:szCs w:val="18"/>
                <w:lang w:val="es-ES" w:eastAsia="es-ES"/>
              </w:rPr>
            </w:pPr>
            <w:r>
              <w:rPr>
                <w:rFonts w:ascii="Cambria" w:eastAsia="Arial Unicode MS" w:hAnsi="Cambria" w:cs="Arial"/>
                <w:sz w:val="18"/>
                <w:szCs w:val="18"/>
                <w:lang w:val="es-ES" w:eastAsia="es-ES"/>
              </w:rPr>
              <w:t>06 de agosto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Batalla de Junín</w:t>
            </w:r>
            <w:r w:rsidR="00FC097E" w:rsidRPr="00AE753F">
              <w:rPr>
                <w:rFonts w:eastAsia="Arial Unicode MS" w:cstheme="minorHAnsi"/>
                <w:sz w:val="18"/>
                <w:szCs w:val="18"/>
                <w:lang w:val="es-ES" w:eastAsia="es-ES"/>
              </w:rPr>
              <w:t xml:space="preserve">.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lastRenderedPageBreak/>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lastRenderedPageBreak/>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1703"/>
        <w:gridCol w:w="6646"/>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2"/>
              </w:numPr>
              <w:tabs>
                <w:tab w:val="left" w:pos="284"/>
              </w:tabs>
              <w:rPr>
                <w:rFonts w:cstheme="minorHAnsi"/>
                <w:b/>
                <w:sz w:val="18"/>
                <w:szCs w:val="18"/>
              </w:rPr>
            </w:pPr>
            <w:r w:rsidRPr="00AE753F">
              <w:rPr>
                <w:rFonts w:cstheme="minorHAnsi"/>
                <w:b/>
                <w:sz w:val="18"/>
                <w:szCs w:val="18"/>
              </w:rPr>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603CE3">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1703"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646"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FC097E" w:rsidRPr="00AE753F" w:rsidTr="00603CE3">
        <w:tc>
          <w:tcPr>
            <w:tcW w:w="2909" w:type="dxa"/>
            <w:vMerge w:val="restart"/>
            <w:vAlign w:val="center"/>
          </w:tcPr>
          <w:p w:rsidR="00FC097E" w:rsidRPr="00AE753F" w:rsidRDefault="00FC097E" w:rsidP="00603CE3">
            <w:pPr>
              <w:jc w:val="center"/>
              <w:rPr>
                <w:rFonts w:cstheme="minorHAnsi"/>
                <w:b/>
                <w:sz w:val="18"/>
                <w:szCs w:val="18"/>
              </w:rPr>
            </w:pPr>
            <w:r w:rsidRPr="00AE753F">
              <w:rPr>
                <w:rFonts w:cstheme="minorHAnsi"/>
                <w:b/>
                <w:sz w:val="18"/>
                <w:szCs w:val="18"/>
              </w:rPr>
              <w:t>MATEMÁTICA</w:t>
            </w:r>
          </w:p>
          <w:p w:rsidR="00FC097E" w:rsidRPr="00AE753F" w:rsidRDefault="00FC097E" w:rsidP="00603CE3">
            <w:pPr>
              <w:jc w:val="center"/>
              <w:rPr>
                <w:rFonts w:cstheme="minorHAnsi"/>
                <w:sz w:val="18"/>
                <w:szCs w:val="18"/>
              </w:rPr>
            </w:pPr>
          </w:p>
        </w:tc>
        <w:tc>
          <w:tcPr>
            <w:tcW w:w="1529" w:type="dxa"/>
            <w:vMerge w:val="restart"/>
            <w:vAlign w:val="center"/>
          </w:tcPr>
          <w:p w:rsidR="00FC097E" w:rsidRPr="00AE753F" w:rsidRDefault="00FC097E" w:rsidP="00603CE3">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Pr="00AE753F">
              <w:rPr>
                <w:rFonts w:eastAsia="Arial" w:cstheme="minorHAnsi"/>
                <w:b/>
                <w:bCs/>
                <w:color w:val="231F20"/>
                <w:spacing w:val="-4"/>
                <w:w w:val="95"/>
                <w:sz w:val="18"/>
                <w:szCs w:val="18"/>
              </w:rPr>
              <w:t>R</w:t>
            </w:r>
            <w:r w:rsidRPr="00AE753F">
              <w:rPr>
                <w:rFonts w:eastAsia="Arial" w:cstheme="minorHAnsi"/>
                <w:b/>
                <w:bCs/>
                <w:color w:val="231F20"/>
                <w:w w:val="95"/>
                <w:sz w:val="18"/>
                <w:szCs w:val="18"/>
              </w:rPr>
              <w:t>EGULA</w:t>
            </w:r>
            <w:r w:rsidRPr="00AE753F">
              <w:rPr>
                <w:rFonts w:eastAsia="Arial" w:cstheme="minorHAnsi"/>
                <w:b/>
                <w:bCs/>
                <w:color w:val="231F20"/>
                <w:spacing w:val="-3"/>
                <w:w w:val="95"/>
                <w:sz w:val="18"/>
                <w:szCs w:val="18"/>
              </w:rPr>
              <w:t>R</w:t>
            </w:r>
            <w:r w:rsidRPr="00AE753F">
              <w:rPr>
                <w:rFonts w:eastAsia="Arial" w:cstheme="minorHAnsi"/>
                <w:b/>
                <w:bCs/>
                <w:color w:val="231F20"/>
                <w:w w:val="95"/>
                <w:sz w:val="18"/>
                <w:szCs w:val="18"/>
              </w:rPr>
              <w:t>IDAD, EQUI</w:t>
            </w:r>
            <w:r w:rsidRPr="00AE753F">
              <w:rPr>
                <w:rFonts w:eastAsia="Arial" w:cstheme="minorHAnsi"/>
                <w:b/>
                <w:bCs/>
                <w:color w:val="231F20"/>
                <w:spacing w:val="-4"/>
                <w:w w:val="95"/>
                <w:sz w:val="18"/>
                <w:szCs w:val="18"/>
              </w:rPr>
              <w:t>V</w:t>
            </w:r>
            <w:r w:rsidRPr="00AE753F">
              <w:rPr>
                <w:rFonts w:eastAsia="Arial" w:cstheme="minorHAnsi"/>
                <w:b/>
                <w:bCs/>
                <w:color w:val="231F20"/>
                <w:w w:val="95"/>
                <w:sz w:val="18"/>
                <w:szCs w:val="18"/>
              </w:rPr>
              <w:t>ALENCIA</w:t>
            </w:r>
            <w:r w:rsidRPr="00AE753F">
              <w:rPr>
                <w:rFonts w:eastAsia="Arial" w:cstheme="minorHAnsi"/>
                <w:b/>
                <w:bCs/>
                <w:color w:val="231F20"/>
                <w:spacing w:val="-1"/>
                <w:w w:val="95"/>
                <w:sz w:val="18"/>
                <w:szCs w:val="18"/>
              </w:rPr>
              <w:t xml:space="preserve"> </w:t>
            </w:r>
            <w:r w:rsidRPr="00AE753F">
              <w:rPr>
                <w:rFonts w:eastAsia="Arial" w:cstheme="minorHAnsi"/>
                <w:b/>
                <w:bCs/>
                <w:color w:val="231F20"/>
                <w:w w:val="95"/>
                <w:sz w:val="18"/>
                <w:szCs w:val="18"/>
              </w:rPr>
              <w:t>Y CAMBIO</w:t>
            </w:r>
          </w:p>
        </w:tc>
        <w:tc>
          <w:tcPr>
            <w:tcW w:w="1703" w:type="dxa"/>
            <w:vAlign w:val="center"/>
          </w:tcPr>
          <w:p w:rsidR="00FC097E" w:rsidRPr="00AE753F" w:rsidRDefault="00FC097E" w:rsidP="00603CE3">
            <w:pPr>
              <w:pStyle w:val="Default"/>
              <w:jc w:val="center"/>
              <w:rPr>
                <w:rFonts w:asciiTheme="minorHAnsi" w:hAnsiTheme="minorHAnsi" w:cstheme="minorHAnsi"/>
                <w:sz w:val="18"/>
              </w:rPr>
            </w:pPr>
            <w:r w:rsidRPr="00AE753F">
              <w:rPr>
                <w:rFonts w:asciiTheme="minorHAnsi" w:hAnsiTheme="minorHAnsi" w:cstheme="minorHAnsi"/>
                <w:sz w:val="18"/>
              </w:rPr>
              <w:t>Matematiza situaciones</w:t>
            </w:r>
          </w:p>
        </w:tc>
        <w:tc>
          <w:tcPr>
            <w:tcW w:w="6646" w:type="dxa"/>
            <w:vMerge w:val="restart"/>
            <w:vAlign w:val="center"/>
          </w:tcPr>
          <w:p w:rsidR="00521B20" w:rsidRPr="00521B20" w:rsidRDefault="00521B20" w:rsidP="00521B20">
            <w:pPr>
              <w:pStyle w:val="Prrafodelista"/>
              <w:numPr>
                <w:ilvl w:val="0"/>
                <w:numId w:val="4"/>
              </w:numPr>
              <w:ind w:left="317" w:hanging="218"/>
              <w:jc w:val="both"/>
              <w:rPr>
                <w:rFonts w:cstheme="minorHAnsi"/>
                <w:sz w:val="18"/>
                <w:szCs w:val="18"/>
                <w:lang w:val="es-MX"/>
              </w:rPr>
            </w:pPr>
            <w:r>
              <w:rPr>
                <w:rFonts w:ascii="ArialMT" w:hAnsi="ArialMT" w:cs="ArialMT"/>
                <w:sz w:val="15"/>
                <w:szCs w:val="15"/>
              </w:rPr>
              <w:t>Analiza los elementos de una ecuación de grado superior y los teoremas utilizados para su resolución.</w:t>
            </w:r>
          </w:p>
          <w:p w:rsidR="00521B20" w:rsidRDefault="00521B20" w:rsidP="00654D5C">
            <w:pPr>
              <w:pStyle w:val="Prrafodelista"/>
              <w:numPr>
                <w:ilvl w:val="0"/>
                <w:numId w:val="4"/>
              </w:numPr>
              <w:autoSpaceDE w:val="0"/>
              <w:autoSpaceDN w:val="0"/>
              <w:adjustRightInd w:val="0"/>
              <w:ind w:left="317" w:hanging="218"/>
              <w:jc w:val="both"/>
              <w:rPr>
                <w:rFonts w:ascii="ArialMT" w:hAnsi="ArialMT" w:cs="ArialMT"/>
                <w:sz w:val="15"/>
                <w:szCs w:val="15"/>
              </w:rPr>
            </w:pPr>
            <w:r w:rsidRPr="00521B20">
              <w:rPr>
                <w:rFonts w:ascii="ArialMT" w:hAnsi="ArialMT" w:cs="ArialMT"/>
                <w:sz w:val="15"/>
                <w:szCs w:val="15"/>
              </w:rPr>
              <w:t>Aplica las propiedades de las raíces de ecuaciones de segundo grado para la resolución de problemas.</w:t>
            </w:r>
          </w:p>
          <w:p w:rsidR="00521B20" w:rsidRDefault="00521B20" w:rsidP="0066371C">
            <w:pPr>
              <w:pStyle w:val="Prrafodelista"/>
              <w:numPr>
                <w:ilvl w:val="0"/>
                <w:numId w:val="4"/>
              </w:numPr>
              <w:autoSpaceDE w:val="0"/>
              <w:autoSpaceDN w:val="0"/>
              <w:adjustRightInd w:val="0"/>
              <w:ind w:left="317" w:hanging="218"/>
              <w:jc w:val="both"/>
              <w:rPr>
                <w:rFonts w:ascii="ArialMT" w:hAnsi="ArialMT" w:cs="ArialMT"/>
                <w:sz w:val="15"/>
                <w:szCs w:val="15"/>
              </w:rPr>
            </w:pPr>
            <w:r w:rsidRPr="00521B20">
              <w:rPr>
                <w:rFonts w:ascii="ArialMT" w:hAnsi="ArialMT" w:cs="ArialMT"/>
                <w:sz w:val="15"/>
                <w:szCs w:val="15"/>
              </w:rPr>
              <w:t>Resuelve ecuaciones de segundo grado aplicando los distintos métodos.</w:t>
            </w:r>
          </w:p>
          <w:p w:rsidR="00521B20" w:rsidRPr="00521B20" w:rsidRDefault="00521B20" w:rsidP="00521B20">
            <w:pPr>
              <w:pStyle w:val="Prrafodelista"/>
              <w:numPr>
                <w:ilvl w:val="0"/>
                <w:numId w:val="4"/>
              </w:numPr>
              <w:autoSpaceDE w:val="0"/>
              <w:autoSpaceDN w:val="0"/>
              <w:adjustRightInd w:val="0"/>
              <w:ind w:left="317" w:hanging="218"/>
              <w:jc w:val="both"/>
              <w:rPr>
                <w:rFonts w:cstheme="minorHAnsi"/>
                <w:sz w:val="18"/>
                <w:szCs w:val="18"/>
                <w:lang w:val="es-MX"/>
              </w:rPr>
            </w:pPr>
            <w:r w:rsidRPr="00521B20">
              <w:rPr>
                <w:rFonts w:ascii="ArialMT" w:hAnsi="ArialMT" w:cs="ArialMT"/>
                <w:sz w:val="15"/>
                <w:szCs w:val="15"/>
              </w:rPr>
              <w:t>Resuelve problemas utilizando las propiedades de ecuaciones</w:t>
            </w:r>
            <w:r>
              <w:rPr>
                <w:rFonts w:ascii="ArialMT" w:hAnsi="ArialMT" w:cs="ArialMT"/>
                <w:sz w:val="15"/>
                <w:szCs w:val="15"/>
              </w:rPr>
              <w:t xml:space="preserve"> de grado superior.</w:t>
            </w:r>
          </w:p>
          <w:p w:rsidR="00521B20" w:rsidRDefault="00521B20" w:rsidP="00736732">
            <w:pPr>
              <w:pStyle w:val="Prrafodelista"/>
              <w:numPr>
                <w:ilvl w:val="0"/>
                <w:numId w:val="4"/>
              </w:numPr>
              <w:autoSpaceDE w:val="0"/>
              <w:autoSpaceDN w:val="0"/>
              <w:adjustRightInd w:val="0"/>
              <w:ind w:left="317" w:hanging="218"/>
              <w:jc w:val="both"/>
              <w:rPr>
                <w:rFonts w:ascii="ArialMT" w:hAnsi="ArialMT" w:cs="ArialMT"/>
                <w:sz w:val="15"/>
                <w:szCs w:val="15"/>
              </w:rPr>
            </w:pPr>
            <w:r w:rsidRPr="00521B20">
              <w:rPr>
                <w:rFonts w:ascii="ArialMT" w:hAnsi="ArialMT" w:cs="ArialMT"/>
                <w:sz w:val="15"/>
                <w:szCs w:val="15"/>
              </w:rPr>
              <w:t>Resuelve ecuaciones e inecuaciones en los problemas propuestos.</w:t>
            </w:r>
          </w:p>
          <w:p w:rsidR="00521B20" w:rsidRPr="00AE753F" w:rsidRDefault="00521B20" w:rsidP="00521B20">
            <w:pPr>
              <w:pStyle w:val="Prrafodelista"/>
              <w:numPr>
                <w:ilvl w:val="0"/>
                <w:numId w:val="4"/>
              </w:numPr>
              <w:autoSpaceDE w:val="0"/>
              <w:autoSpaceDN w:val="0"/>
              <w:adjustRightInd w:val="0"/>
              <w:ind w:left="317" w:hanging="218"/>
              <w:jc w:val="both"/>
              <w:rPr>
                <w:rFonts w:cstheme="minorHAnsi"/>
                <w:sz w:val="18"/>
                <w:szCs w:val="18"/>
                <w:lang w:val="es-MX"/>
              </w:rPr>
            </w:pPr>
            <w:r w:rsidRPr="00521B20">
              <w:rPr>
                <w:rFonts w:ascii="ArialMT" w:hAnsi="ArialMT" w:cs="ArialMT"/>
                <w:sz w:val="15"/>
                <w:szCs w:val="15"/>
              </w:rPr>
              <w:t>Plantea inecuaciones a partir de enunciados y define la variable</w:t>
            </w:r>
            <w:r>
              <w:rPr>
                <w:rFonts w:ascii="ArialMT" w:hAnsi="ArialMT" w:cs="ArialMT"/>
                <w:sz w:val="15"/>
                <w:szCs w:val="15"/>
              </w:rPr>
              <w:t xml:space="preserve"> a encontrar.</w:t>
            </w:r>
          </w:p>
        </w:tc>
        <w:tc>
          <w:tcPr>
            <w:tcW w:w="1814" w:type="dxa"/>
            <w:vMerge w:val="restart"/>
            <w:vAlign w:val="center"/>
          </w:tcPr>
          <w:p w:rsidR="00FC097E" w:rsidRPr="00521B20" w:rsidRDefault="00521B20" w:rsidP="00521B20">
            <w:pPr>
              <w:pStyle w:val="Prrafodelista"/>
              <w:numPr>
                <w:ilvl w:val="0"/>
                <w:numId w:val="4"/>
              </w:numPr>
              <w:ind w:left="317" w:hanging="218"/>
              <w:jc w:val="both"/>
              <w:rPr>
                <w:rFonts w:cstheme="minorHAnsi"/>
                <w:sz w:val="18"/>
                <w:szCs w:val="18"/>
              </w:rPr>
            </w:pPr>
            <w:r>
              <w:rPr>
                <w:rFonts w:cstheme="minorHAnsi"/>
                <w:b/>
                <w:sz w:val="18"/>
              </w:rPr>
              <w:t>Ecuaciones de segundo grado.</w:t>
            </w:r>
          </w:p>
          <w:p w:rsidR="00521B20" w:rsidRPr="00521B20" w:rsidRDefault="00521B20" w:rsidP="00521B20">
            <w:pPr>
              <w:pStyle w:val="Prrafodelista"/>
              <w:numPr>
                <w:ilvl w:val="0"/>
                <w:numId w:val="4"/>
              </w:numPr>
              <w:ind w:left="317" w:hanging="218"/>
              <w:jc w:val="both"/>
              <w:rPr>
                <w:rFonts w:cstheme="minorHAnsi"/>
                <w:b/>
                <w:sz w:val="18"/>
                <w:szCs w:val="18"/>
              </w:rPr>
            </w:pPr>
            <w:r w:rsidRPr="00521B20">
              <w:rPr>
                <w:rFonts w:cstheme="minorHAnsi"/>
                <w:b/>
                <w:sz w:val="18"/>
                <w:szCs w:val="18"/>
              </w:rPr>
              <w:t>Ecuaciones de grado superior.</w:t>
            </w:r>
          </w:p>
          <w:p w:rsidR="00521B20" w:rsidRPr="00AE753F" w:rsidRDefault="00521B20" w:rsidP="00521B20">
            <w:pPr>
              <w:pStyle w:val="Prrafodelista"/>
              <w:numPr>
                <w:ilvl w:val="0"/>
                <w:numId w:val="4"/>
              </w:numPr>
              <w:ind w:left="317" w:hanging="218"/>
              <w:jc w:val="both"/>
              <w:rPr>
                <w:rFonts w:cstheme="minorHAnsi"/>
                <w:sz w:val="18"/>
                <w:szCs w:val="18"/>
              </w:rPr>
            </w:pPr>
            <w:r w:rsidRPr="00521B20">
              <w:rPr>
                <w:rFonts w:cstheme="minorHAnsi"/>
                <w:b/>
                <w:sz w:val="18"/>
                <w:szCs w:val="18"/>
              </w:rPr>
              <w:t>Desigualdades e inecuaciones.</w:t>
            </w: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Comunica y representa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Elabora y usa estrategias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Razona y argumenta generando ideas matemáticas</w:t>
            </w:r>
          </w:p>
          <w:p w:rsidR="00FC097E" w:rsidRPr="00AE753F" w:rsidRDefault="00FC097E" w:rsidP="00603CE3">
            <w:pPr>
              <w:pStyle w:val="Default"/>
              <w:jc w:val="center"/>
              <w:rPr>
                <w:rFonts w:asciiTheme="minorHAnsi" w:hAnsiTheme="minorHAnsi" w:cstheme="minorHAnsi"/>
                <w:sz w:val="18"/>
                <w:szCs w:val="18"/>
              </w:rPr>
            </w:pP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42" w:type="dxa"/>
        <w:tblInd w:w="108" w:type="dxa"/>
        <w:tblLook w:val="04A0" w:firstRow="1" w:lastRow="0" w:firstColumn="1" w:lastColumn="0" w:noHBand="0" w:noVBand="1"/>
      </w:tblPr>
      <w:tblGrid>
        <w:gridCol w:w="1447"/>
        <w:gridCol w:w="13195"/>
      </w:tblGrid>
      <w:tr w:rsidR="00FC097E" w:rsidRPr="00AE753F" w:rsidTr="00603CE3">
        <w:trPr>
          <w:trHeight w:val="433"/>
        </w:trPr>
        <w:tc>
          <w:tcPr>
            <w:tcW w:w="14642" w:type="dxa"/>
            <w:gridSpan w:val="2"/>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SECUENCIA DE SESIONES DE APRENDIZAJE.</w:t>
            </w:r>
          </w:p>
        </w:tc>
      </w:tr>
      <w:tr w:rsidR="00FC097E" w:rsidRPr="00AE753F" w:rsidTr="00603CE3">
        <w:trPr>
          <w:trHeight w:val="233"/>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Identifica los elementos de una ecuación de segundo grado.</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Aplica las propiedades de las raíces de una ecuación de segundo grado</w:t>
            </w:r>
            <w:r w:rsidR="005D130C">
              <w:rPr>
                <w:rFonts w:cstheme="minorHAnsi"/>
                <w:b/>
                <w:sz w:val="18"/>
              </w:rPr>
              <w:t xml:space="preserve"> (trabajo en grupos pequeños)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 xml:space="preserve">Solución de ejercicios y evaluación online </w:t>
            </w:r>
          </w:p>
        </w:tc>
      </w:tr>
      <w:tr w:rsidR="00FC097E" w:rsidRPr="00AE753F" w:rsidTr="00603CE3">
        <w:trPr>
          <w:trHeight w:val="233"/>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95" w:type="dxa"/>
            <w:shd w:val="clear" w:color="auto" w:fill="FFFFFF" w:themeFill="background1"/>
          </w:tcPr>
          <w:p w:rsidR="00FC097E" w:rsidRPr="00AE753F" w:rsidRDefault="00521B20" w:rsidP="00603CE3">
            <w:pPr>
              <w:rPr>
                <w:rFonts w:cstheme="minorHAnsi"/>
                <w:b/>
                <w:sz w:val="18"/>
              </w:rPr>
            </w:pPr>
            <w:r>
              <w:rPr>
                <w:rFonts w:cstheme="minorHAnsi"/>
                <w:b/>
                <w:sz w:val="18"/>
              </w:rPr>
              <w:t>Aplica propiedades en la solución de ecuaciones de grado superior (trabajo en grupos pequeños)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95" w:type="dxa"/>
            <w:shd w:val="clear" w:color="auto" w:fill="FFFFFF" w:themeFill="background1"/>
          </w:tcPr>
          <w:p w:rsidR="00FC097E" w:rsidRPr="00AE753F" w:rsidRDefault="005D130C" w:rsidP="00603CE3">
            <w:pPr>
              <w:shd w:val="clear" w:color="auto" w:fill="FFFFFF"/>
              <w:tabs>
                <w:tab w:val="left" w:pos="-2905"/>
              </w:tabs>
              <w:jc w:val="both"/>
              <w:rPr>
                <w:rFonts w:cstheme="minorHAnsi"/>
                <w:b/>
                <w:sz w:val="18"/>
                <w:szCs w:val="18"/>
              </w:rPr>
            </w:pPr>
            <w:r>
              <w:rPr>
                <w:rFonts w:cstheme="minorHAnsi"/>
                <w:b/>
                <w:sz w:val="18"/>
                <w:szCs w:val="18"/>
              </w:rPr>
              <w:t xml:space="preserve">Plantea y soluciona desigualdades e inecuaciones </w:t>
            </w:r>
            <w:r>
              <w:rPr>
                <w:rFonts w:cstheme="minorHAnsi"/>
                <w:b/>
                <w:sz w:val="18"/>
              </w:rPr>
              <w:t>(trabajo en grupos pequeños)</w:t>
            </w:r>
          </w:p>
        </w:tc>
      </w:tr>
      <w:tr w:rsidR="00FC097E" w:rsidRPr="00AE753F" w:rsidTr="00603CE3">
        <w:trPr>
          <w:trHeight w:val="219"/>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95" w:type="dxa"/>
            <w:shd w:val="clear" w:color="auto" w:fill="FFFFFF" w:themeFill="background1"/>
          </w:tcPr>
          <w:p w:rsidR="00FC097E" w:rsidRPr="00AE753F" w:rsidRDefault="00FC097E" w:rsidP="00603CE3">
            <w:pPr>
              <w:rPr>
                <w:rFonts w:cstheme="minorHAnsi"/>
                <w:b/>
                <w:sz w:val="18"/>
              </w:rPr>
            </w:pPr>
            <w:r w:rsidRPr="00AE753F">
              <w:rPr>
                <w:rFonts w:cstheme="minorHAnsi"/>
                <w:b/>
                <w:sz w:val="18"/>
              </w:rPr>
              <w:t>Evaluación</w:t>
            </w:r>
            <w:r w:rsidR="005D130C">
              <w:rPr>
                <w:rFonts w:cstheme="minorHAnsi"/>
                <w:b/>
                <w:sz w:val="18"/>
              </w:rPr>
              <w:t xml:space="preserve"> online individual</w:t>
            </w:r>
          </w:p>
        </w:tc>
      </w:tr>
    </w:tbl>
    <w:p w:rsidR="00FC097E" w:rsidRPr="00AE753F" w:rsidRDefault="00FC097E" w:rsidP="00FC097E">
      <w:pPr>
        <w:tabs>
          <w:tab w:val="left" w:pos="3390"/>
        </w:tabs>
        <w:spacing w:after="0" w:line="240" w:lineRule="auto"/>
        <w:rPr>
          <w:rFonts w:cstheme="minorHAnsi"/>
          <w:sz w:val="18"/>
          <w:szCs w:val="18"/>
        </w:rPr>
      </w:pPr>
    </w:p>
    <w:p w:rsidR="00FC097E" w:rsidRDefault="00FC097E" w:rsidP="00FC097E">
      <w:pPr>
        <w:tabs>
          <w:tab w:val="left" w:pos="3390"/>
        </w:tabs>
        <w:spacing w:after="0" w:line="240" w:lineRule="auto"/>
        <w:rPr>
          <w:rFonts w:cstheme="minorHAnsi"/>
          <w:sz w:val="18"/>
          <w:szCs w:val="18"/>
        </w:rPr>
      </w:pPr>
    </w:p>
    <w:p w:rsidR="00521B20" w:rsidRDefault="00521B20" w:rsidP="00FC097E">
      <w:pPr>
        <w:tabs>
          <w:tab w:val="left" w:pos="3390"/>
        </w:tabs>
        <w:spacing w:after="0" w:line="240" w:lineRule="auto"/>
        <w:rPr>
          <w:rFonts w:cstheme="minorHAnsi"/>
          <w:sz w:val="18"/>
          <w:szCs w:val="18"/>
        </w:rPr>
      </w:pPr>
    </w:p>
    <w:p w:rsidR="00521B20" w:rsidRDefault="00521B20" w:rsidP="00FC097E">
      <w:pPr>
        <w:tabs>
          <w:tab w:val="left" w:pos="3390"/>
        </w:tabs>
        <w:spacing w:after="0" w:line="240" w:lineRule="auto"/>
        <w:rPr>
          <w:rFonts w:cstheme="minorHAnsi"/>
          <w:sz w:val="18"/>
          <w:szCs w:val="18"/>
        </w:rPr>
      </w:pPr>
    </w:p>
    <w:p w:rsidR="005D130C" w:rsidRDefault="005D130C" w:rsidP="00FC097E">
      <w:pPr>
        <w:tabs>
          <w:tab w:val="left" w:pos="3390"/>
        </w:tabs>
        <w:spacing w:after="0" w:line="240" w:lineRule="auto"/>
        <w:rPr>
          <w:rFonts w:cstheme="minorHAnsi"/>
          <w:sz w:val="18"/>
          <w:szCs w:val="18"/>
        </w:rPr>
      </w:pPr>
    </w:p>
    <w:p w:rsidR="005D130C" w:rsidRDefault="005D130C" w:rsidP="00FC097E">
      <w:pPr>
        <w:tabs>
          <w:tab w:val="left" w:pos="3390"/>
        </w:tabs>
        <w:spacing w:after="0" w:line="240" w:lineRule="auto"/>
        <w:rPr>
          <w:rFonts w:cstheme="minorHAnsi"/>
          <w:sz w:val="18"/>
          <w:szCs w:val="18"/>
        </w:rPr>
      </w:pPr>
    </w:p>
    <w:p w:rsidR="005D130C" w:rsidRPr="00AE753F" w:rsidRDefault="005D130C"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Pr="00AE753F">
              <w:rPr>
                <w:rFonts w:eastAsia="Arial Unicode MS" w:cstheme="minorHAnsi"/>
                <w:sz w:val="18"/>
                <w:szCs w:val="18"/>
              </w:rPr>
              <w:t>leximatic</w:t>
            </w:r>
            <w:proofErr w:type="spellEnd"/>
            <w:r w:rsidRPr="00AE753F">
              <w:rPr>
                <w:rFonts w:eastAsia="Arial Unicode MS" w:cstheme="minorHAnsi"/>
                <w:sz w:val="18"/>
                <w:szCs w:val="18"/>
              </w:rPr>
              <w:t xml:space="preserve"> 4 – Álgebra 4º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FC097E" w:rsidRPr="00AE753F" w:rsidTr="00603CE3">
        <w:trPr>
          <w:trHeight w:val="397"/>
        </w:trPr>
        <w:tc>
          <w:tcPr>
            <w:tcW w:w="1985" w:type="dxa"/>
            <w:shd w:val="clear" w:color="auto" w:fill="BFBFBF" w:themeFill="background1" w:themeFillShade="BF"/>
            <w:vAlign w:val="center"/>
          </w:tcPr>
          <w:p w:rsidR="00FC097E" w:rsidRPr="00AE753F" w:rsidRDefault="00FC097E" w:rsidP="00FC097E">
            <w:pPr>
              <w:pStyle w:val="Prrafodelista"/>
              <w:numPr>
                <w:ilvl w:val="0"/>
                <w:numId w:val="12"/>
              </w:numPr>
              <w:rPr>
                <w:rFonts w:cstheme="minorHAnsi"/>
                <w:b/>
                <w:sz w:val="18"/>
                <w:szCs w:val="18"/>
              </w:rPr>
            </w:pPr>
            <w:r w:rsidRPr="00AE753F">
              <w:rPr>
                <w:rFonts w:cstheme="minorHAnsi"/>
                <w:b/>
                <w:sz w:val="18"/>
                <w:szCs w:val="18"/>
              </w:rPr>
              <w:t>EVALUACION.</w:t>
            </w:r>
          </w:p>
        </w:tc>
        <w:tc>
          <w:tcPr>
            <w:tcW w:w="1006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4"/>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4"/>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4"/>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FC097E" w:rsidRPr="00AE753F" w:rsidTr="00603CE3">
              <w:trPr>
                <w:trHeight w:val="462"/>
              </w:trPr>
              <w:tc>
                <w:tcPr>
                  <w:tcW w:w="2321"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Tipos de evaluación</w:t>
                  </w:r>
                </w:p>
              </w:tc>
              <w:tc>
                <w:tcPr>
                  <w:tcW w:w="2127"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Procedimiento</w:t>
                  </w:r>
                </w:p>
              </w:tc>
              <w:tc>
                <w:tcPr>
                  <w:tcW w:w="340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Instrumentos</w:t>
                  </w:r>
                </w:p>
              </w:tc>
              <w:tc>
                <w:tcPr>
                  <w:tcW w:w="184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Técnicas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Inicio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Oral</w:t>
                  </w:r>
                </w:p>
              </w:tc>
              <w:tc>
                <w:tcPr>
                  <w:tcW w:w="3402" w:type="dxa"/>
                  <w:vAlign w:val="center"/>
                </w:tcPr>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Ficha de observación</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Registro anecdotario </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Guía de prueba oral </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Observación</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Proceso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cstheme="minorHAnsi"/>
                      <w:sz w:val="18"/>
                      <w:szCs w:val="18"/>
                    </w:rPr>
                  </w:pPr>
                  <w:r w:rsidRPr="00AE753F">
                    <w:rPr>
                      <w:rFonts w:cstheme="minorHAnsi"/>
                      <w:sz w:val="18"/>
                      <w:szCs w:val="18"/>
                    </w:rPr>
                    <w:t xml:space="preserve">Pruebas de desarrollo </w:t>
                  </w:r>
                </w:p>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Pruebas objetivas</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Resolución de problemas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Salida</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Escala de calificación (0 - 20)</w:t>
                  </w:r>
                </w:p>
              </w:tc>
              <w:tc>
                <w:tcPr>
                  <w:tcW w:w="1842" w:type="dxa"/>
                  <w:vAlign w:val="center"/>
                </w:tcPr>
                <w:p w:rsidR="00FC097E" w:rsidRPr="00AE753F" w:rsidRDefault="00FC097E" w:rsidP="00603CE3">
                  <w:pPr>
                    <w:pStyle w:val="Prrafodelista"/>
                    <w:ind w:left="0"/>
                    <w:jc w:val="center"/>
                    <w:rPr>
                      <w:rFonts w:eastAsia="SimSun" w:cstheme="minorHAnsi"/>
                      <w:sz w:val="18"/>
                      <w:szCs w:val="18"/>
                      <w:lang w:val="es-ES" w:eastAsia="zh-CN"/>
                    </w:rPr>
                  </w:pPr>
                  <w:r w:rsidRPr="00AE753F">
                    <w:rPr>
                      <w:rFonts w:eastAsia="SimSun" w:cstheme="minorHAnsi"/>
                      <w:sz w:val="18"/>
                      <w:szCs w:val="18"/>
                      <w:lang w:val="es-ES" w:eastAsia="zh-CN"/>
                    </w:rPr>
                    <w:t>Directa</w:t>
                  </w:r>
                </w:p>
              </w:tc>
            </w:tr>
          </w:tbl>
          <w:p w:rsidR="00FC097E" w:rsidRPr="00AE753F" w:rsidRDefault="00FC097E" w:rsidP="00603CE3">
            <w:pPr>
              <w:ind w:left="-57"/>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bookmarkStart w:id="0" w:name="_GoBack"/>
      <w:bookmarkEnd w:id="0"/>
    </w:p>
    <w:sectPr w:rsidR="00FC097E"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5A" w:rsidRDefault="00C7585A">
      <w:pPr>
        <w:spacing w:after="0" w:line="240" w:lineRule="auto"/>
      </w:pPr>
      <w:r>
        <w:separator/>
      </w:r>
    </w:p>
  </w:endnote>
  <w:endnote w:type="continuationSeparator" w:id="0">
    <w:p w:rsidR="00C7585A" w:rsidRDefault="00C7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5A" w:rsidRDefault="00C7585A">
      <w:pPr>
        <w:spacing w:after="0" w:line="240" w:lineRule="auto"/>
      </w:pPr>
      <w:r>
        <w:separator/>
      </w:r>
    </w:p>
  </w:footnote>
  <w:footnote w:type="continuationSeparator" w:id="0">
    <w:p w:rsidR="00C7585A" w:rsidRDefault="00C7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8"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2"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0"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2"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0"/>
  </w:num>
  <w:num w:numId="2">
    <w:abstractNumId w:val="23"/>
  </w:num>
  <w:num w:numId="3">
    <w:abstractNumId w:val="3"/>
  </w:num>
  <w:num w:numId="4">
    <w:abstractNumId w:val="19"/>
  </w:num>
  <w:num w:numId="5">
    <w:abstractNumId w:val="20"/>
  </w:num>
  <w:num w:numId="6">
    <w:abstractNumId w:val="15"/>
  </w:num>
  <w:num w:numId="7">
    <w:abstractNumId w:val="8"/>
  </w:num>
  <w:num w:numId="8">
    <w:abstractNumId w:val="17"/>
  </w:num>
  <w:num w:numId="9">
    <w:abstractNumId w:val="18"/>
  </w:num>
  <w:num w:numId="10">
    <w:abstractNumId w:val="5"/>
  </w:num>
  <w:num w:numId="11">
    <w:abstractNumId w:val="16"/>
  </w:num>
  <w:num w:numId="12">
    <w:abstractNumId w:val="12"/>
  </w:num>
  <w:num w:numId="13">
    <w:abstractNumId w:val="4"/>
  </w:num>
  <w:num w:numId="14">
    <w:abstractNumId w:val="11"/>
  </w:num>
  <w:num w:numId="15">
    <w:abstractNumId w:val="24"/>
  </w:num>
  <w:num w:numId="16">
    <w:abstractNumId w:val="13"/>
  </w:num>
  <w:num w:numId="17">
    <w:abstractNumId w:val="14"/>
  </w:num>
  <w:num w:numId="18">
    <w:abstractNumId w:val="22"/>
  </w:num>
  <w:num w:numId="19">
    <w:abstractNumId w:val="1"/>
  </w:num>
  <w:num w:numId="20">
    <w:abstractNumId w:val="7"/>
  </w:num>
  <w:num w:numId="21">
    <w:abstractNumId w:val="21"/>
  </w:num>
  <w:num w:numId="22">
    <w:abstractNumId w:val="0"/>
  </w:num>
  <w:num w:numId="23">
    <w:abstractNumId w:val="6"/>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A45DA"/>
    <w:rsid w:val="001625D0"/>
    <w:rsid w:val="00252E1C"/>
    <w:rsid w:val="00521B20"/>
    <w:rsid w:val="005D130C"/>
    <w:rsid w:val="00603CE3"/>
    <w:rsid w:val="007C3D2C"/>
    <w:rsid w:val="008B117C"/>
    <w:rsid w:val="00983C33"/>
    <w:rsid w:val="00AC7395"/>
    <w:rsid w:val="00AE753F"/>
    <w:rsid w:val="00C7585A"/>
    <w:rsid w:val="00DB3383"/>
    <w:rsid w:val="00DF4C4A"/>
    <w:rsid w:val="00E17423"/>
    <w:rsid w:val="00E563B7"/>
    <w:rsid w:val="00E671E4"/>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4E4E"/>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1"/>
    <w:qFormat/>
    <w:rsid w:val="00FC097E"/>
    <w:pPr>
      <w:ind w:left="720"/>
      <w:contextualSpacing/>
    </w:pPr>
  </w:style>
  <w:style w:type="character" w:customStyle="1" w:styleId="PrrafodelistaCar">
    <w:name w:val="Párrafo de lista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2</cp:revision>
  <dcterms:created xsi:type="dcterms:W3CDTF">2020-09-07T04:33:00Z</dcterms:created>
  <dcterms:modified xsi:type="dcterms:W3CDTF">2020-09-07T04:33:00Z</dcterms:modified>
</cp:coreProperties>
</file>